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2021年度常德市社会科学成果评审委员会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课题选题方向（供参考）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重大课题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马克思主义中国化百年进程理论研究；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中国共产党百年发展的宝贵经验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习近平新时代中国特色社会主义思想的系统性、整体性、学理性研究；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4、党的十九届五中全会精神研究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坚持扩大内需，形成国内大循环为主体、国内国际双循环的新发展格局研究；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常德贯彻落实“三高四新”战略，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深入推进开放强市产业立市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发展研究；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新时代常德城市定位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、发展方向及推广策略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8、常德市建设现代化区域中心城市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实施路径研究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9、常德市建设区域性现代综合交通枢纽和现代物流枢纽研究；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10、常德市打造全国重要先进制造业基地项目研究；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11、常德市打造全国生态农产品基地项目研究；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12、常德打造大健康产业基地项目研究；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13、常德文旅深度融合发展研究。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宋体" w:eastAsia="黑体" w:cs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重点课题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中国共产党全面领导与国家治理体系和治理能力现代化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0" w:firstLineChars="0"/>
        <w:textAlignment w:val="auto"/>
        <w:rPr>
          <w:rFonts w:hint="eastAsia" w:ascii="仿宋_GB2312" w:hAnsi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常德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农村经济社会转型研究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常德市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激发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企业技术创新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活力、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完善科技创新体制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楷体" w:hAnsi="楷体" w:eastAsia="楷体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、常德建设现代服务业新体系研究；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5、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常德市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加快推动数字化融合发展研究；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6、养老事业与养老产业协同发展研究；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仿宋_GB2312" w:hAnsi="仿宋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7、全域旅游背景下的常德旅游品牌营销策略研究；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8、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乡村振兴中的产业融合发展研究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稳定脱贫与乡村振兴有机衔接研究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宋体" w:hAnsi="宋体" w:eastAsia="宋体" w:cs="宋体"/>
          <w:sz w:val="14"/>
          <w:szCs w:val="14"/>
          <w:lang w:eastAsia="zh-CN"/>
        </w:rPr>
      </w:pPr>
      <w:r>
        <w:rPr>
          <w:rFonts w:hint="eastAsia" w:ascii="仿宋_GB2312" w:hAnsi="仿宋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社会治理的数字化智能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化研究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_GB2312"/>
          <w:sz w:val="32"/>
          <w:szCs w:val="32"/>
          <w:lang w:val="en-US" w:eastAsia="zh-CN"/>
        </w:rPr>
        <w:t>11、完善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财税金融体制及风险预警机制研究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12、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常德市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县域经济发展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研究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10、推动常德城市精细化管理研究；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11、激发本土消费市场新活力研究；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12、塑造常德文化品牌研究；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13、探索大湖流域生态文明引领经济社会发展新模式研究；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14、创新链、产业链、价值链、供应链研究；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15、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建立高效的城区疾病预防控制体系研究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16、城区公办义务教育资源不足问题及对策研究；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17、城乡教育资源分布不均问题及对策研究；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18、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落实立德树人根本任务与师德师风建设研究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一般课题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 w:bidi="ar"/>
        </w:rPr>
        <w:t>常德市推进文化创新路径研究</w:t>
      </w: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提升主流媒体传播力、引导力、影响力研究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提升常德本地高等教育规模层次研究；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促进互联网经济和电子商务跨越发展研究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数字化背景下的养老服务体系研究；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推进法治常德建设对策研究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常德市深化机构和行政体制改革研究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常德市农村留守儿童心理健康问题研究；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优秀传统文化、红色文化进校园、进社区途径策略研究；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10、</w:t>
      </w: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eastAsia="zh-CN"/>
        </w:rPr>
        <w:t>常德市招才引智工作对策研究</w:t>
      </w:r>
      <w:r>
        <w:rPr>
          <w:rFonts w:hint="eastAsia" w:ascii="仿宋_GB2312" w:hAnsi="仿宋_GB2312" w:cs="仿宋_GB2312"/>
          <w:w w:val="98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w w:val="9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/>
        </w:rPr>
        <w:t>11、构建现代精细农业体系研究；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12、津澧融城项目研究；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13、应对人口老龄化问题研究；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14、</w:t>
      </w: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 w:bidi="ar"/>
        </w:rPr>
        <w:t>常德发展循环经济对策研究</w:t>
      </w: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15、常德构建生态治理体系对策研究；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16、</w:t>
      </w: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促进资源集约高效利用途径研究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17、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支持民营经济和中小微企业发展研究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18、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常德着力加强实体经济发展对策研究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19、完善公共就业服务体系研究；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20、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加快企业转型升级建设制造强市的对策研究</w:t>
      </w: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 w:right="0" w:rightChars="0"/>
        <w:textAlignment w:val="auto"/>
        <w:rPr>
          <w:rFonts w:hint="default" w:ascii="仿宋_GB2312" w:hAnsi="仿宋_GB2312" w:eastAsia="仿宋_GB2312" w:cs="仿宋_GB2312"/>
          <w:w w:val="9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/>
        </w:rPr>
        <w:t xml:space="preserve">    21、提升公共卫生和医疗服务能力研究；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22、推进区域协调发展和新型城镇化研究；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23、深化经济体制改革研究；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24、构建一流营商环境研究；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25、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中国共产党在常德地区的发展历程研究；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26、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常德文化服务体系建设研究；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27、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常德健全现代文化产业体系研究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28、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常德</w:t>
      </w: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非物质文化遗产传承与保护研究</w:t>
      </w:r>
      <w:r>
        <w:rPr>
          <w:rFonts w:hint="eastAsia" w:ascii="仿宋_GB2312" w:hAnsi="仿宋_GB2312" w:cs="仿宋_GB2312"/>
          <w:sz w:val="32"/>
          <w:szCs w:val="32"/>
          <w:shd w:val="clear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29、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常德传统民俗文化研究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30、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常德红色文化研究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shd w:val="clear" w:fill="FFFFFF"/>
          <w:lang w:val="en-US" w:eastAsia="zh-CN"/>
        </w:rPr>
        <w:t>31、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常德公共服务供给短板的对策研究</w:t>
      </w: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32、</w:t>
      </w: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 w:bidi="ar"/>
        </w:rPr>
        <w:t>农村中小学</w:t>
      </w: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“互联网+”教学模式探索研究；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 w:bidi="ar"/>
        </w:rPr>
        <w:t>33、</w:t>
      </w: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完善居民医疗服务保障体系问题研究；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34、</w:t>
      </w: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 w:bidi="ar"/>
        </w:rPr>
        <w:t>推进生态宜居乡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村建设的对策研究</w:t>
      </w:r>
      <w:r>
        <w:rPr>
          <w:rFonts w:hint="eastAsia" w:ascii="仿宋_GB2312" w:hAnsi="仿宋_GB2312" w:cs="仿宋_GB2312"/>
          <w:kern w:val="2"/>
          <w:sz w:val="32"/>
          <w:szCs w:val="32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35、</w:t>
      </w: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  <w:lang w:val="en-US" w:eastAsia="zh-CN" w:bidi="ar"/>
        </w:rPr>
        <w:t>传统生态文化与常德生态文明建设路径研究</w:t>
      </w:r>
      <w:r>
        <w:rPr>
          <w:rFonts w:hint="eastAsia" w:ascii="仿宋_GB2312" w:hAnsi="仿宋_GB2312" w:cs="仿宋_GB2312"/>
          <w:w w:val="98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36、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常德农产品品牌整合提升研究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37、大力发展全民健身项目研究；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38、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乡镇（街道）干部队伍稳定措施研究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39、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常德社科人才队伍建设路径研究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40、乡土人才队伍培养研究；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41、基层一线干部队伍心理健康问题研究；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42、新媒体时代</w:t>
      </w:r>
      <w:r>
        <w:rPr>
          <w:rFonts w:hint="eastAsia" w:ascii="仿宋_GB2312" w:hAnsi="仿宋_GB2312" w:eastAsia="仿宋_GB2312" w:cs="仿宋_GB2312"/>
          <w:sz w:val="32"/>
          <w:szCs w:val="32"/>
        </w:rPr>
        <w:t>文学与艺术新现象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研究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43、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网络安全、数据安全与个人信息保护问题研究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44、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常态化疫情防控下文化和旅游发展方向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问题研究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45、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生态保护与生态旅游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协调发展问题研究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46、</w:t>
      </w:r>
      <w:r>
        <w:rPr>
          <w:rFonts w:hint="eastAsia" w:ascii="仿宋_GB2312" w:hAnsi="仿宋_GB2312" w:eastAsia="仿宋_GB2312" w:cs="仿宋_GB2312"/>
          <w:sz w:val="32"/>
          <w:szCs w:val="32"/>
        </w:rPr>
        <w:t>后扶贫时代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下农村返贫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及帮扶长效机制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50、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面向突发公共事件的舆情与决策研究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51、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常德智慧农业发展研究；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52、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深化农村土地改革问题研究；</w:t>
      </w:r>
    </w:p>
    <w:sectPr>
      <w:pgSz w:w="11906" w:h="16838"/>
      <w:pgMar w:top="1440" w:right="1587" w:bottom="1440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8B70F4"/>
    <w:multiLevelType w:val="multilevel"/>
    <w:tmpl w:val="B08B70F4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75EB3"/>
    <w:rsid w:val="005C2473"/>
    <w:rsid w:val="00823CF1"/>
    <w:rsid w:val="00F9412F"/>
    <w:rsid w:val="013F3579"/>
    <w:rsid w:val="03404FAE"/>
    <w:rsid w:val="0654273E"/>
    <w:rsid w:val="082C13D3"/>
    <w:rsid w:val="084342B1"/>
    <w:rsid w:val="08C25109"/>
    <w:rsid w:val="0930269F"/>
    <w:rsid w:val="09310067"/>
    <w:rsid w:val="09506D14"/>
    <w:rsid w:val="098E4AE1"/>
    <w:rsid w:val="09D56B36"/>
    <w:rsid w:val="0BA14308"/>
    <w:rsid w:val="0C5556BB"/>
    <w:rsid w:val="0C654243"/>
    <w:rsid w:val="0C787E14"/>
    <w:rsid w:val="0D185ACA"/>
    <w:rsid w:val="0E85354B"/>
    <w:rsid w:val="137932B0"/>
    <w:rsid w:val="13C22149"/>
    <w:rsid w:val="157167DF"/>
    <w:rsid w:val="161A744D"/>
    <w:rsid w:val="17A20CA4"/>
    <w:rsid w:val="18117439"/>
    <w:rsid w:val="1988120B"/>
    <w:rsid w:val="1A490013"/>
    <w:rsid w:val="1AB12B88"/>
    <w:rsid w:val="1CC05B22"/>
    <w:rsid w:val="1D4C2B04"/>
    <w:rsid w:val="1D9877C7"/>
    <w:rsid w:val="1EE556D4"/>
    <w:rsid w:val="21145C10"/>
    <w:rsid w:val="21575DFC"/>
    <w:rsid w:val="226802BE"/>
    <w:rsid w:val="235B5BB6"/>
    <w:rsid w:val="23682A38"/>
    <w:rsid w:val="236E2FFA"/>
    <w:rsid w:val="27E60A71"/>
    <w:rsid w:val="28724238"/>
    <w:rsid w:val="2AE13234"/>
    <w:rsid w:val="2C19386B"/>
    <w:rsid w:val="2C415B6D"/>
    <w:rsid w:val="2EA803D9"/>
    <w:rsid w:val="30CD2E94"/>
    <w:rsid w:val="32A000E2"/>
    <w:rsid w:val="32D5722A"/>
    <w:rsid w:val="3487153E"/>
    <w:rsid w:val="3C3B1AFD"/>
    <w:rsid w:val="3C3F689A"/>
    <w:rsid w:val="3CDE5239"/>
    <w:rsid w:val="3D5D1C91"/>
    <w:rsid w:val="40B975A5"/>
    <w:rsid w:val="41EC6A22"/>
    <w:rsid w:val="424C0FD1"/>
    <w:rsid w:val="427C427F"/>
    <w:rsid w:val="436908F6"/>
    <w:rsid w:val="440A434E"/>
    <w:rsid w:val="44AA6FDE"/>
    <w:rsid w:val="452D2D68"/>
    <w:rsid w:val="45887538"/>
    <w:rsid w:val="467A0D05"/>
    <w:rsid w:val="472F7DD8"/>
    <w:rsid w:val="489E3334"/>
    <w:rsid w:val="49787913"/>
    <w:rsid w:val="4BE623B1"/>
    <w:rsid w:val="4BF12BFB"/>
    <w:rsid w:val="4EED3092"/>
    <w:rsid w:val="4F1C0EAB"/>
    <w:rsid w:val="4F59366E"/>
    <w:rsid w:val="4F6C71BF"/>
    <w:rsid w:val="4FF956D5"/>
    <w:rsid w:val="510D5668"/>
    <w:rsid w:val="515B2351"/>
    <w:rsid w:val="533A5FCB"/>
    <w:rsid w:val="537534A7"/>
    <w:rsid w:val="538F700B"/>
    <w:rsid w:val="53B24C81"/>
    <w:rsid w:val="54F32F3E"/>
    <w:rsid w:val="55527484"/>
    <w:rsid w:val="56C66AE2"/>
    <w:rsid w:val="582E1D4F"/>
    <w:rsid w:val="5C9C4881"/>
    <w:rsid w:val="5D7E72E3"/>
    <w:rsid w:val="5DCB7038"/>
    <w:rsid w:val="5E4749EB"/>
    <w:rsid w:val="613361B3"/>
    <w:rsid w:val="6137366C"/>
    <w:rsid w:val="639407BF"/>
    <w:rsid w:val="64C11180"/>
    <w:rsid w:val="65C04B96"/>
    <w:rsid w:val="6723251E"/>
    <w:rsid w:val="67822AA2"/>
    <w:rsid w:val="68434891"/>
    <w:rsid w:val="69D7712B"/>
    <w:rsid w:val="6BA06ADE"/>
    <w:rsid w:val="6F0F2516"/>
    <w:rsid w:val="6F8C6277"/>
    <w:rsid w:val="6FA75EB3"/>
    <w:rsid w:val="724B0FE0"/>
    <w:rsid w:val="725D76EF"/>
    <w:rsid w:val="75E534CD"/>
    <w:rsid w:val="762E031B"/>
    <w:rsid w:val="780B4930"/>
    <w:rsid w:val="781476B7"/>
    <w:rsid w:val="78CB4D57"/>
    <w:rsid w:val="7AD7629F"/>
    <w:rsid w:val="7AEF30F8"/>
    <w:rsid w:val="7B0715C1"/>
    <w:rsid w:val="7FD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Autospacing="0" w:afterAutospacing="0" w:line="360" w:lineRule="auto"/>
      <w:ind w:firstLine="0" w:firstLineChars="0"/>
      <w:jc w:val="center"/>
      <w:outlineLvl w:val="9"/>
    </w:pPr>
    <w:rPr>
      <w:rFonts w:ascii="Times New Roman" w:hAnsi="Times New Roman" w:eastAsia="黑体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3"/>
    <w:basedOn w:val="1"/>
    <w:next w:val="4"/>
    <w:qFormat/>
    <w:uiPriority w:val="0"/>
    <w:pPr>
      <w:spacing w:line="360" w:lineRule="auto"/>
      <w:ind w:firstLine="880" w:firstLineChars="200"/>
      <w:outlineLvl w:val="1"/>
    </w:pPr>
    <w:rPr>
      <w:rFonts w:ascii="Times New Roman" w:hAnsi="Times New Roman" w:eastAsia="楷体_GB2312"/>
      <w:sz w:val="32"/>
    </w:rPr>
  </w:style>
  <w:style w:type="paragraph" w:customStyle="1" w:styleId="11">
    <w:name w:val="课题组"/>
    <w:basedOn w:val="1"/>
    <w:next w:val="1"/>
    <w:qFormat/>
    <w:uiPriority w:val="0"/>
    <w:pPr>
      <w:spacing w:before="50" w:beforeLines="50" w:after="100" w:afterLines="100" w:line="360" w:lineRule="auto"/>
      <w:ind w:firstLine="0" w:firstLineChars="0"/>
      <w:jc w:val="center"/>
    </w:pPr>
    <w:rPr>
      <w:rFonts w:eastAsia="楷体_GB2312"/>
      <w:sz w:val="28"/>
    </w:rPr>
  </w:style>
  <w:style w:type="paragraph" w:customStyle="1" w:styleId="12">
    <w:name w:val="一级标题"/>
    <w:basedOn w:val="4"/>
    <w:next w:val="1"/>
    <w:qFormat/>
    <w:uiPriority w:val="0"/>
    <w:rPr>
      <w:b w:val="0"/>
    </w:rPr>
  </w:style>
  <w:style w:type="paragraph" w:customStyle="1" w:styleId="13">
    <w:name w:val="二级标题"/>
    <w:basedOn w:val="1"/>
    <w:next w:val="1"/>
    <w:qFormat/>
    <w:uiPriority w:val="0"/>
    <w:pPr>
      <w:spacing w:line="360" w:lineRule="auto"/>
      <w:ind w:firstLine="880" w:firstLineChars="200"/>
      <w:jc w:val="left"/>
      <w:outlineLvl w:val="1"/>
    </w:pPr>
    <w:rPr>
      <w:rFonts w:eastAsia="楷体_GB2312"/>
    </w:rPr>
  </w:style>
  <w:style w:type="paragraph" w:customStyle="1" w:styleId="14">
    <w:name w:val="课题组成员"/>
    <w:basedOn w:val="1"/>
    <w:next w:val="1"/>
    <w:qFormat/>
    <w:uiPriority w:val="0"/>
    <w:pPr>
      <w:spacing w:line="360" w:lineRule="auto"/>
      <w:ind w:firstLine="0" w:firstLineChars="0"/>
    </w:pPr>
    <w:rPr>
      <w:rFonts w:eastAsia="楷体_GB2312"/>
      <w:sz w:val="28"/>
    </w:rPr>
  </w:style>
  <w:style w:type="paragraph" w:customStyle="1" w:styleId="15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2021-01-19T02:36:00Z</dcterms:created>
  <dc:creator>小时候可萌了</dc:creator>
  <cp:lastModifiedBy>小时候可萌了</cp:lastModifiedBy>
  <cp:lastPrinted>2021-02-01T02:33:39Z</cp:lastPrinted>
  <dcterms:modified xsi:type="dcterms:W3CDTF">2021-02-01T02:40:53Z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