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1869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</w:t>
      </w:r>
    </w:p>
    <w:tbl>
      <w:tblPr>
        <w:tblStyle w:val="4"/>
        <w:tblW w:w="145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320"/>
        <w:gridCol w:w="8040"/>
        <w:gridCol w:w="2941"/>
        <w:gridCol w:w="1454"/>
      </w:tblGrid>
      <w:tr w14:paraId="1FEA7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45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F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2026年度人大制度理论研究专项课题立项名单</w:t>
            </w:r>
          </w:p>
        </w:tc>
      </w:tr>
      <w:tr w14:paraId="6C954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课题编号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6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D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课题主持人</w:t>
            </w:r>
          </w:p>
        </w:tc>
      </w:tr>
      <w:tr w14:paraId="30486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5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SKL26ZX01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34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snapToGrid w:val="0"/>
                <w:lang w:val="en-US" w:eastAsia="zh-CN" w:bidi="ar"/>
              </w:rPr>
              <w:t>提升地方人大立法质量研究</w:t>
            </w:r>
            <w:r>
              <w:rPr>
                <w:rStyle w:val="7"/>
                <w:rFonts w:eastAsia="宋体"/>
                <w:snapToGrid w:val="0"/>
                <w:lang w:val="en-US" w:eastAsia="zh-CN" w:bidi="ar"/>
              </w:rPr>
              <w:t>——</w:t>
            </w:r>
            <w:r>
              <w:rPr>
                <w:rStyle w:val="6"/>
                <w:snapToGrid w:val="0"/>
                <w:lang w:val="en-US" w:eastAsia="zh-CN" w:bidi="ar"/>
              </w:rPr>
              <w:t>以常德市人大立法实践为样本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常德市人大常委会法制委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方建春</w:t>
            </w:r>
          </w:p>
        </w:tc>
      </w:tr>
      <w:tr w14:paraId="6D78A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SKL26ZX02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86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人大政府债务管理监督研究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F9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常德市人大财经委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（常委会预算工委）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陈爱喜</w:t>
            </w:r>
          </w:p>
        </w:tc>
      </w:tr>
      <w:tr w14:paraId="3AE25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SKL26ZX03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5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实效导向视野下地方人大审议意见办理制度问题研究——以湖南省省市县三级制度架构与实践为研究对象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常德市人大常委会研究室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E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王黎明</w:t>
            </w:r>
          </w:p>
        </w:tc>
      </w:tr>
      <w:tr w14:paraId="615C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0D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SKL26ZX04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B2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坚持党建引领  打造“党建+”品牌——常德市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人大党建与业务融合路径研究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常德市人大常委会办公室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</w:t>
            </w:r>
          </w:p>
        </w:tc>
      </w:tr>
      <w:tr w14:paraId="5DA9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F0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SKL26ZX05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61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长江大保护视域下地方人大深化生态文明法治建设研究——以常德市为例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常德市人大常委会环资委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3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周圆琪</w:t>
            </w:r>
          </w:p>
        </w:tc>
      </w:tr>
      <w:tr w14:paraId="5F9CA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7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SKL26ZX06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0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地方人大推动融入健康养老服务的实践研究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6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汉寿县人大常委会办公室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</w:t>
            </w:r>
          </w:p>
        </w:tc>
      </w:tr>
      <w:tr w14:paraId="7E668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D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A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SKL26ZX07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40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基层人大代表参与矛盾纠纷源头治理的角色优势与实现方式研究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鼎城区人大常委会办公室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5B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徐万</w:t>
            </w:r>
          </w:p>
        </w:tc>
      </w:tr>
      <w:tr w14:paraId="4D230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SKL26ZX08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E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人大参与和推进基层治理现代化研究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2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桃源县人大常委会办公室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1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张军平</w:t>
            </w:r>
          </w:p>
        </w:tc>
      </w:tr>
      <w:tr w14:paraId="0715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1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SKL26ZX09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368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探索基层党组织领导下人大代表作用发挥的有效路径研究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F24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中共临澧县委组织部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7EC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肖志远</w:t>
            </w:r>
          </w:p>
        </w:tc>
      </w:tr>
      <w:tr w14:paraId="57A6F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SKL26ZX10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0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赛事经济背景下人大参与基层治理的实践逻辑与路径优化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B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湖南幼儿师范高等专科学校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孙宏宏</w:t>
            </w:r>
          </w:p>
        </w:tc>
      </w:tr>
      <w:tr w14:paraId="27092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F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SKL26ZX11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5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常德人大“六融入”基层治理模式的实践逻辑与优化路径研究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湖南幼儿师范高等专科学校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7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孙碧艳</w:t>
            </w:r>
          </w:p>
        </w:tc>
      </w:tr>
      <w:tr w14:paraId="63A46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SKL26ZX12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42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人工智能赋能下地方人大推动健康养老服务“六融入”基层治理的机制与路径研究——以常德市为例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B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湖南幼儿师范高等专科学校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F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李晨迪</w:t>
            </w:r>
          </w:p>
        </w:tc>
      </w:tr>
      <w:tr w14:paraId="3754D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SKL26ZX13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2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分级保护视域下非遗的人大立法机制与实践研究——以石门县土家族婚俗为例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72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湖南幼儿师范高等专科学校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李行</w:t>
            </w:r>
          </w:p>
        </w:tc>
      </w:tr>
      <w:tr w14:paraId="48D6D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A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SKL26ZX14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4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人大代表联络站赋能基层治理的常德“六融入”模式研究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湖南文理学院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杨传兰</w:t>
            </w:r>
          </w:p>
        </w:tc>
      </w:tr>
      <w:tr w14:paraId="69034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SKL26ZX15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6F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人大监督促进常德市居民绿色消费行为的策略研究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常德职业技术学院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许文娟</w:t>
            </w:r>
          </w:p>
        </w:tc>
      </w:tr>
    </w:tbl>
    <w:p w14:paraId="73912E35"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DAAB7"/>
    <w:rsid w:val="1F9DB8D2"/>
    <w:rsid w:val="3FCF499F"/>
    <w:rsid w:val="5FFF656B"/>
    <w:rsid w:val="68FD1286"/>
    <w:rsid w:val="72FF38B2"/>
    <w:rsid w:val="737DAAB7"/>
    <w:rsid w:val="765F351F"/>
    <w:rsid w:val="7FD6DEAF"/>
    <w:rsid w:val="9CFEBAE6"/>
    <w:rsid w:val="CBA72DCC"/>
    <w:rsid w:val="E5BBAB01"/>
    <w:rsid w:val="E7DA5DA9"/>
    <w:rsid w:val="EFB7B0A6"/>
    <w:rsid w:val="F5EE2A91"/>
    <w:rsid w:val="F7E55510"/>
    <w:rsid w:val="FA611977"/>
    <w:rsid w:val="FB1CD254"/>
    <w:rsid w:val="FBDFB38D"/>
    <w:rsid w:val="FE5FB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eastAsia="仿宋_GB2312" w:cs="仿宋_GB2312" w:asciiTheme="minorHAnsi" w:hAnsiTheme="minorHAnsi"/>
      <w:snapToGrid w:val="0"/>
      <w:color w:val="auto"/>
      <w:kern w:val="0"/>
      <w:sz w:val="32"/>
      <w:szCs w:val="32"/>
      <w:u w:val="none"/>
      <w:lang w:val="en-US" w:eastAsia="zh-CN" w:bidi="ar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6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2026-05-08T09:41:00Z</dcterms:created>
  <dc:creator>greatwall</dc:creator>
  <cp:lastModifiedBy>greatwall</cp:lastModifiedBy>
  <dcterms:modified xsi:type="dcterms:W3CDTF">2026-09-22T17:55:34Z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4D5DD65D57948F60BEEDFB696E9CE48E_41</vt:lpwstr>
  </property>
</Properties>
</file>